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FC7D" w14:textId="419ED481" w:rsidR="00911D9C" w:rsidRPr="00DC7182" w:rsidRDefault="00911D9C" w:rsidP="00292316">
      <w:pPr>
        <w:spacing w:after="120" w:line="240" w:lineRule="auto"/>
        <w:rPr>
          <w:rFonts w:ascii="Barlow" w:hAnsi="Barlow"/>
        </w:rPr>
      </w:pPr>
    </w:p>
    <w:p w14:paraId="3FC500E1" w14:textId="77777777" w:rsidR="00292316" w:rsidRPr="00DC7182" w:rsidRDefault="00292316" w:rsidP="00292316">
      <w:pPr>
        <w:spacing w:after="120" w:line="240" w:lineRule="auto"/>
        <w:rPr>
          <w:rFonts w:ascii="Barlow" w:hAnsi="Barlow"/>
        </w:rPr>
      </w:pPr>
    </w:p>
    <w:p w14:paraId="02DE8165" w14:textId="5AA59D97" w:rsidR="00292316" w:rsidRPr="00DC7182" w:rsidRDefault="00292316" w:rsidP="00292316">
      <w:pPr>
        <w:spacing w:after="120" w:line="240" w:lineRule="auto"/>
        <w:jc w:val="center"/>
        <w:rPr>
          <w:rFonts w:ascii="Barlow" w:hAnsi="Barlow"/>
          <w:b/>
          <w:bCs/>
          <w:sz w:val="28"/>
          <w:szCs w:val="28"/>
        </w:rPr>
      </w:pPr>
      <w:r w:rsidRPr="00DC7182">
        <w:rPr>
          <w:rFonts w:ascii="Barlow" w:hAnsi="Barlow"/>
          <w:b/>
          <w:bCs/>
          <w:sz w:val="28"/>
          <w:szCs w:val="28"/>
        </w:rPr>
        <w:t xml:space="preserve">POLITICA DE </w:t>
      </w:r>
      <w:r w:rsidR="00ED1B45">
        <w:rPr>
          <w:rFonts w:ascii="Barlow" w:hAnsi="Barlow"/>
          <w:b/>
          <w:bCs/>
          <w:sz w:val="28"/>
          <w:szCs w:val="28"/>
        </w:rPr>
        <w:t>DIVIDEND</w:t>
      </w:r>
    </w:p>
    <w:p w14:paraId="108827E1" w14:textId="1E9B84E5" w:rsidR="00DC7182" w:rsidRPr="00DC7182" w:rsidRDefault="00292316" w:rsidP="00910C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9350C">
        <w:rPr>
          <w:rFonts w:ascii="Barlow" w:hAnsi="Barlow"/>
        </w:rPr>
        <w:t>STAR RESIDENCE INVEST S.A.</w:t>
      </w:r>
      <w:r w:rsidR="00910CAF" w:rsidRPr="00DC71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78C77F2A" w14:textId="77777777" w:rsidR="00DC7182" w:rsidRPr="00DC7182" w:rsidRDefault="00DC7182" w:rsidP="00910C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CA69E39" w14:textId="526E9E9B" w:rsidR="00910CAF" w:rsidRPr="00DC7182" w:rsidRDefault="00910CAF" w:rsidP="00DC7182">
      <w:pPr>
        <w:spacing w:after="120" w:line="240" w:lineRule="auto"/>
        <w:rPr>
          <w:rFonts w:ascii="Barlow" w:hAnsi="Barlow"/>
          <w:b/>
          <w:bCs/>
        </w:rPr>
      </w:pPr>
      <w:r w:rsidRPr="00DC7182">
        <w:rPr>
          <w:rFonts w:ascii="Barlow" w:hAnsi="Barlow"/>
          <w:b/>
          <w:bCs/>
        </w:rPr>
        <w:t>1. Scopul politicii</w:t>
      </w:r>
    </w:p>
    <w:p w14:paraId="4686FCDF" w14:textId="7E7C8CA1" w:rsidR="00910CAF" w:rsidRPr="00910CAF" w:rsidRDefault="00910CAF" w:rsidP="00F85F3C">
      <w:p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 xml:space="preserve">Prezenta politică stabilește principiile și regulile privind distribuirea dividendelor către acționari, în conformitate cu prevederile Legii nr. 31/1990, Legii nr. 24/2017, Codului de Guvernanță Corporativă al BVB (ediția 2025) și ale Actului Constitutiv, care prevede distribuirea a minimum </w:t>
      </w:r>
      <w:r w:rsidRPr="00910CAF">
        <w:rPr>
          <w:rFonts w:ascii="Barlow" w:hAnsi="Barlow"/>
          <w:b/>
          <w:bCs/>
        </w:rPr>
        <w:t>90% din profitul net</w:t>
      </w:r>
      <w:r w:rsidRPr="00910CAF">
        <w:rPr>
          <w:rFonts w:ascii="Barlow" w:hAnsi="Barlow"/>
        </w:rPr>
        <w:t xml:space="preserve"> anual.</w:t>
      </w:r>
    </w:p>
    <w:p w14:paraId="439FC6F6" w14:textId="77777777" w:rsidR="00910CAF" w:rsidRPr="00910CAF" w:rsidRDefault="00910CAF" w:rsidP="00910CAF">
      <w:pPr>
        <w:spacing w:after="120" w:line="240" w:lineRule="auto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t>2. Principii generale</w:t>
      </w:r>
    </w:p>
    <w:p w14:paraId="63A09DF0" w14:textId="77777777" w:rsidR="00910CAF" w:rsidRPr="00910CAF" w:rsidRDefault="00910CAF" w:rsidP="00910CAF">
      <w:pPr>
        <w:numPr>
          <w:ilvl w:val="0"/>
          <w:numId w:val="11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  <w:b/>
          <w:bCs/>
        </w:rPr>
        <w:t>Transparență:</w:t>
      </w:r>
      <w:r w:rsidRPr="00910CAF">
        <w:rPr>
          <w:rFonts w:ascii="Barlow" w:hAnsi="Barlow"/>
        </w:rPr>
        <w:t xml:space="preserve"> politica de dividend este clară, predictibilă și comunicată acționarilor.</w:t>
      </w:r>
    </w:p>
    <w:p w14:paraId="23D7E079" w14:textId="77777777" w:rsidR="00910CAF" w:rsidRPr="00910CAF" w:rsidRDefault="00910CAF" w:rsidP="00910CAF">
      <w:pPr>
        <w:numPr>
          <w:ilvl w:val="0"/>
          <w:numId w:val="11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  <w:b/>
          <w:bCs/>
        </w:rPr>
        <w:t>Conformitate:</w:t>
      </w:r>
      <w:r w:rsidRPr="00910CAF">
        <w:rPr>
          <w:rFonts w:ascii="Barlow" w:hAnsi="Barlow"/>
        </w:rPr>
        <w:t xml:space="preserve"> distribuirea dividendelor respectă actul constitutiv, legislația aplicabilă și hotărârile AGA.</w:t>
      </w:r>
    </w:p>
    <w:p w14:paraId="2BCB4518" w14:textId="77777777" w:rsidR="00910CAF" w:rsidRPr="00910CAF" w:rsidRDefault="00910CAF" w:rsidP="00910CAF">
      <w:pPr>
        <w:numPr>
          <w:ilvl w:val="0"/>
          <w:numId w:val="11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  <w:b/>
          <w:bCs/>
        </w:rPr>
        <w:t>Echitate:</w:t>
      </w:r>
      <w:r w:rsidRPr="00910CAF">
        <w:rPr>
          <w:rFonts w:ascii="Barlow" w:hAnsi="Barlow"/>
        </w:rPr>
        <w:t xml:space="preserve"> dividendele se acordă proporțional tuturor acționarilor, conform participării la capitalul social.</w:t>
      </w:r>
    </w:p>
    <w:p w14:paraId="4F21E72D" w14:textId="2CCABED4" w:rsidR="00910CAF" w:rsidRPr="00910CAF" w:rsidRDefault="00910CAF" w:rsidP="00910CAF">
      <w:pPr>
        <w:numPr>
          <w:ilvl w:val="0"/>
          <w:numId w:val="11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  <w:b/>
          <w:bCs/>
        </w:rPr>
        <w:t>Sustenabilitate financiară:</w:t>
      </w:r>
      <w:r w:rsidRPr="00910CAF">
        <w:rPr>
          <w:rFonts w:ascii="Barlow" w:hAnsi="Barlow"/>
        </w:rPr>
        <w:t xml:space="preserve"> distribuțiile sunt realizate cu respectarea obligațiilor legale și a stabilității financiare a societății.</w:t>
      </w:r>
    </w:p>
    <w:p w14:paraId="62AE7925" w14:textId="77777777" w:rsidR="00910CAF" w:rsidRPr="00910CAF" w:rsidRDefault="00910CAF" w:rsidP="00910CAF">
      <w:pPr>
        <w:spacing w:after="120" w:line="240" w:lineRule="auto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t>3. Structura politicii de dividend</w:t>
      </w:r>
    </w:p>
    <w:p w14:paraId="5A6A6B70" w14:textId="77777777" w:rsidR="00910CAF" w:rsidRPr="00910CAF" w:rsidRDefault="00910CAF" w:rsidP="00910CAF">
      <w:pPr>
        <w:spacing w:after="120" w:line="240" w:lineRule="auto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t>a) Nivelul dividendului</w:t>
      </w:r>
    </w:p>
    <w:p w14:paraId="3FA89036" w14:textId="77777777" w:rsidR="00910CAF" w:rsidRPr="00910CAF" w:rsidRDefault="00910CAF" w:rsidP="00910CAF">
      <w:p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</w:rPr>
        <w:t xml:space="preserve">Societatea va distribui anual </w:t>
      </w:r>
      <w:r w:rsidRPr="00910CAF">
        <w:rPr>
          <w:rFonts w:ascii="Barlow" w:hAnsi="Barlow"/>
          <w:b/>
          <w:bCs/>
        </w:rPr>
        <w:t>cel puțin 90% din profitul net</w:t>
      </w:r>
      <w:r w:rsidRPr="00910CAF">
        <w:rPr>
          <w:rFonts w:ascii="Barlow" w:hAnsi="Barlow"/>
        </w:rPr>
        <w:t>, conform Actului Constitutiv, în măsura în care:</w:t>
      </w:r>
    </w:p>
    <w:p w14:paraId="40B1505E" w14:textId="77777777" w:rsidR="00910CAF" w:rsidRPr="00910CAF" w:rsidRDefault="00910CAF" w:rsidP="00910CAF">
      <w:pPr>
        <w:numPr>
          <w:ilvl w:val="0"/>
          <w:numId w:val="12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</w:rPr>
        <w:t>profitul este realizat și disponibil pentru distribuție;</w:t>
      </w:r>
    </w:p>
    <w:p w14:paraId="6D64FD70" w14:textId="77777777" w:rsidR="00910CAF" w:rsidRPr="00910CAF" w:rsidRDefault="00910CAF" w:rsidP="00910CAF">
      <w:pPr>
        <w:numPr>
          <w:ilvl w:val="0"/>
          <w:numId w:val="12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</w:rPr>
        <w:t>nu există restricții legale privind distribuirea;</w:t>
      </w:r>
    </w:p>
    <w:p w14:paraId="565BA2FA" w14:textId="77777777" w:rsidR="00910CAF" w:rsidRPr="00910CAF" w:rsidRDefault="00910CAF" w:rsidP="00910CAF">
      <w:pPr>
        <w:numPr>
          <w:ilvl w:val="0"/>
          <w:numId w:val="12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</w:rPr>
        <w:t>rezervele legale sunt constituite conform legii.</w:t>
      </w:r>
    </w:p>
    <w:p w14:paraId="1488433D" w14:textId="77777777" w:rsidR="00910CAF" w:rsidRPr="00910CAF" w:rsidRDefault="00910CAF" w:rsidP="00910CAF">
      <w:pPr>
        <w:spacing w:after="120" w:line="240" w:lineRule="auto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t>b) Tipuri de dividende</w:t>
      </w:r>
    </w:p>
    <w:p w14:paraId="4A883CA6" w14:textId="77777777" w:rsidR="00910CAF" w:rsidRPr="00910CAF" w:rsidRDefault="00910CAF" w:rsidP="00910CAF">
      <w:pPr>
        <w:numPr>
          <w:ilvl w:val="0"/>
          <w:numId w:val="13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  <w:b/>
          <w:bCs/>
        </w:rPr>
        <w:t>Dividende anuale</w:t>
      </w:r>
      <w:r w:rsidRPr="00910CAF">
        <w:rPr>
          <w:rFonts w:ascii="Barlow" w:hAnsi="Barlow"/>
        </w:rPr>
        <w:t>, pe baza situațiilor financiare auditate.</w:t>
      </w:r>
    </w:p>
    <w:p w14:paraId="678B7CB3" w14:textId="059646BD" w:rsidR="00910CAF" w:rsidRPr="00910CAF" w:rsidRDefault="00910CAF" w:rsidP="00910CAF">
      <w:pPr>
        <w:numPr>
          <w:ilvl w:val="0"/>
          <w:numId w:val="13"/>
        </w:numPr>
        <w:spacing w:after="120" w:line="240" w:lineRule="auto"/>
        <w:rPr>
          <w:rFonts w:ascii="Barlow" w:hAnsi="Barlow"/>
        </w:rPr>
      </w:pPr>
      <w:r w:rsidRPr="00910CAF">
        <w:rPr>
          <w:rFonts w:ascii="Barlow" w:hAnsi="Barlow"/>
          <w:b/>
          <w:bCs/>
        </w:rPr>
        <w:t>Dividende interimare</w:t>
      </w:r>
      <w:r w:rsidRPr="00910CAF">
        <w:rPr>
          <w:rFonts w:ascii="Barlow" w:hAnsi="Barlow"/>
        </w:rPr>
        <w:t xml:space="preserve"> pot fi distribuite doar </w:t>
      </w:r>
      <w:r w:rsidR="00F243FA">
        <w:rPr>
          <w:rFonts w:ascii="Barlow" w:hAnsi="Barlow"/>
        </w:rPr>
        <w:t xml:space="preserve">cu aprobarea explicită </w:t>
      </w:r>
      <w:r w:rsidRPr="00910CAF">
        <w:rPr>
          <w:rFonts w:ascii="Barlow" w:hAnsi="Barlow"/>
        </w:rPr>
        <w:t>AGA</w:t>
      </w:r>
      <w:r w:rsidR="00F243FA">
        <w:rPr>
          <w:rFonts w:ascii="Barlow" w:hAnsi="Barlow"/>
        </w:rPr>
        <w:t>.</w:t>
      </w:r>
    </w:p>
    <w:p w14:paraId="2C5D12B4" w14:textId="77777777" w:rsidR="00910CAF" w:rsidRPr="00910CAF" w:rsidRDefault="00910CAF" w:rsidP="00910CAF">
      <w:pPr>
        <w:spacing w:after="120" w:line="240" w:lineRule="auto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t>4. Procedura de aprobare și plată</w:t>
      </w:r>
    </w:p>
    <w:p w14:paraId="09A348DA" w14:textId="77777777" w:rsidR="00910CAF" w:rsidRPr="00910CAF" w:rsidRDefault="00910CAF" w:rsidP="00AC1777">
      <w:pPr>
        <w:numPr>
          <w:ilvl w:val="0"/>
          <w:numId w:val="14"/>
        </w:num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 xml:space="preserve">Propunerea privind distribuirea dividendelor este formulată de administrator și aprobată de </w:t>
      </w:r>
      <w:r w:rsidRPr="00910CAF">
        <w:rPr>
          <w:rFonts w:ascii="Barlow" w:hAnsi="Barlow"/>
          <w:b/>
          <w:bCs/>
        </w:rPr>
        <w:t>Adunarea Generală Ordinară a Acționarilor</w:t>
      </w:r>
      <w:r w:rsidRPr="00910CAF">
        <w:rPr>
          <w:rFonts w:ascii="Barlow" w:hAnsi="Barlow"/>
        </w:rPr>
        <w:t>.</w:t>
      </w:r>
    </w:p>
    <w:p w14:paraId="582E9548" w14:textId="77777777" w:rsidR="00910CAF" w:rsidRPr="00910CAF" w:rsidRDefault="00910CAF" w:rsidP="00AC1777">
      <w:pPr>
        <w:numPr>
          <w:ilvl w:val="0"/>
          <w:numId w:val="14"/>
        </w:num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>AGA stabilește: dividendul brut pe acțiune, data de înregistrare și data plății.</w:t>
      </w:r>
    </w:p>
    <w:p w14:paraId="0E21CCF1" w14:textId="77777777" w:rsidR="00910CAF" w:rsidRPr="00910CAF" w:rsidRDefault="00910CAF" w:rsidP="00AC1777">
      <w:pPr>
        <w:numPr>
          <w:ilvl w:val="0"/>
          <w:numId w:val="14"/>
        </w:num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>Dividendele se plătesc prin Depozitarul Central, în termenul legal aplicabil.</w:t>
      </w:r>
    </w:p>
    <w:p w14:paraId="41BFEE9A" w14:textId="77777777" w:rsidR="00910CAF" w:rsidRPr="00910CAF" w:rsidRDefault="00910CAF" w:rsidP="00AC1777">
      <w:pPr>
        <w:numPr>
          <w:ilvl w:val="0"/>
          <w:numId w:val="14"/>
        </w:num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 xml:space="preserve">Informațiile privind dividendul sunt publicate în </w:t>
      </w:r>
      <w:r w:rsidRPr="00910CAF">
        <w:rPr>
          <w:rFonts w:ascii="Barlow" w:hAnsi="Barlow"/>
          <w:b/>
          <w:bCs/>
        </w:rPr>
        <w:t>Raportul anual</w:t>
      </w:r>
      <w:r w:rsidRPr="00910CAF">
        <w:rPr>
          <w:rFonts w:ascii="Barlow" w:hAnsi="Barlow"/>
        </w:rPr>
        <w:t xml:space="preserve"> și comunicate către piață conform reglementărilor BVB.</w:t>
      </w:r>
    </w:p>
    <w:p w14:paraId="7B31547F" w14:textId="54999F01" w:rsidR="00910CAF" w:rsidRPr="00910CAF" w:rsidRDefault="00910CAF" w:rsidP="00910CAF">
      <w:pPr>
        <w:spacing w:after="120" w:line="240" w:lineRule="auto"/>
        <w:rPr>
          <w:rFonts w:ascii="Barlow" w:hAnsi="Barlow"/>
        </w:rPr>
      </w:pPr>
    </w:p>
    <w:p w14:paraId="2E838213" w14:textId="77777777" w:rsidR="00910CAF" w:rsidRPr="00910CAF" w:rsidRDefault="00910CAF" w:rsidP="00910CAF">
      <w:pPr>
        <w:spacing w:after="120" w:line="240" w:lineRule="auto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lastRenderedPageBreak/>
        <w:t>5. Derogări în situații excepționale</w:t>
      </w:r>
    </w:p>
    <w:p w14:paraId="0621E926" w14:textId="77777777" w:rsidR="00910CAF" w:rsidRPr="00910CAF" w:rsidRDefault="00910CAF" w:rsidP="00430704">
      <w:p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>În circumstanțe excepționale (de ex. restricții legale, necesitatea conservării lichidităților, evoluții financiare neprevăzute, șocuri economice externe), societatea poate propune o ajustare temporară a nivelului de dividend, doar cu aprobarea AGA, dacă această măsură este necesară pentru protejarea intereselor pe termen lung și a stabilității financiare a societății.</w:t>
      </w:r>
    </w:p>
    <w:p w14:paraId="5CCDD94D" w14:textId="77777777" w:rsidR="00910CAF" w:rsidRPr="00910CAF" w:rsidRDefault="00910CAF" w:rsidP="00430704">
      <w:pPr>
        <w:spacing w:after="120" w:line="240" w:lineRule="auto"/>
        <w:jc w:val="both"/>
        <w:rPr>
          <w:rFonts w:ascii="Barlow" w:hAnsi="Barlow"/>
          <w:b/>
          <w:bCs/>
        </w:rPr>
      </w:pPr>
      <w:r w:rsidRPr="00910CAF">
        <w:rPr>
          <w:rFonts w:ascii="Barlow" w:hAnsi="Barlow"/>
          <w:b/>
          <w:bCs/>
        </w:rPr>
        <w:t>6. Dispoziții finale</w:t>
      </w:r>
    </w:p>
    <w:p w14:paraId="5CA98AC8" w14:textId="77777777" w:rsidR="00AC0DBE" w:rsidRDefault="00910CAF" w:rsidP="00430704">
      <w:p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 xml:space="preserve">Politica de dividend se revizuiește periodic sau ori de câte ori este necesar pentru alinierea la legislație și la bunele practici ale pieței de capital. </w:t>
      </w:r>
    </w:p>
    <w:p w14:paraId="60164194" w14:textId="6E917104" w:rsidR="00910CAF" w:rsidRDefault="00910CAF" w:rsidP="00430704">
      <w:pPr>
        <w:spacing w:after="120" w:line="240" w:lineRule="auto"/>
        <w:jc w:val="both"/>
        <w:rPr>
          <w:rFonts w:ascii="Barlow" w:hAnsi="Barlow"/>
        </w:rPr>
      </w:pPr>
      <w:r w:rsidRPr="00910CAF">
        <w:rPr>
          <w:rFonts w:ascii="Barlow" w:hAnsi="Barlow"/>
        </w:rPr>
        <w:t>Politica este publicată pe website-ul societății și inclusă în secțiunea de guvernanță corporativă din Raportul anual.</w:t>
      </w:r>
    </w:p>
    <w:p w14:paraId="533E047A" w14:textId="21939D7B" w:rsidR="00C80103" w:rsidRDefault="00DD0FCC" w:rsidP="00430704">
      <w:pPr>
        <w:spacing w:after="120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 xml:space="preserve">Daca, in viitor, </w:t>
      </w:r>
      <w:r w:rsidR="00B51B71">
        <w:rPr>
          <w:rFonts w:ascii="Barlow" w:hAnsi="Barlow"/>
        </w:rPr>
        <w:t>Societatea</w:t>
      </w:r>
      <w:r w:rsidR="000B1BB6">
        <w:rPr>
          <w:rFonts w:ascii="Barlow" w:hAnsi="Barlow"/>
        </w:rPr>
        <w:t xml:space="preserve"> va </w:t>
      </w:r>
      <w:r>
        <w:rPr>
          <w:rFonts w:ascii="Barlow" w:hAnsi="Barlow"/>
        </w:rPr>
        <w:t xml:space="preserve">decide sa </w:t>
      </w:r>
      <w:r w:rsidR="000B1BB6">
        <w:rPr>
          <w:rFonts w:ascii="Barlow" w:hAnsi="Barlow"/>
        </w:rPr>
        <w:t>raport</w:t>
      </w:r>
      <w:r>
        <w:rPr>
          <w:rFonts w:ascii="Barlow" w:hAnsi="Barlow"/>
        </w:rPr>
        <w:t>eze</w:t>
      </w:r>
      <w:r w:rsidR="000B1BB6">
        <w:rPr>
          <w:rFonts w:ascii="Barlow" w:hAnsi="Barlow"/>
        </w:rPr>
        <w:t xml:space="preserve"> rezultatele financiare si </w:t>
      </w:r>
      <w:r w:rsidR="004C0F42">
        <w:rPr>
          <w:rFonts w:ascii="Barlow" w:hAnsi="Barlow"/>
        </w:rPr>
        <w:t>i</w:t>
      </w:r>
      <w:r w:rsidR="00B51B71">
        <w:rPr>
          <w:rFonts w:ascii="Barlow" w:hAnsi="Barlow"/>
        </w:rPr>
        <w:t>n</w:t>
      </w:r>
      <w:r w:rsidR="004C0F42">
        <w:rPr>
          <w:rFonts w:ascii="Barlow" w:hAnsi="Barlow"/>
        </w:rPr>
        <w:t xml:space="preserve"> conformitatea cu standardele </w:t>
      </w:r>
      <w:r w:rsidR="00B51B71">
        <w:rPr>
          <w:rFonts w:ascii="Barlow" w:hAnsi="Barlow"/>
        </w:rPr>
        <w:t xml:space="preserve">internationale </w:t>
      </w:r>
      <w:r w:rsidR="00E01155">
        <w:rPr>
          <w:rFonts w:ascii="Barlow" w:hAnsi="Barlow"/>
        </w:rPr>
        <w:t>de raportare financiara (</w:t>
      </w:r>
      <w:r w:rsidR="004C0F42">
        <w:rPr>
          <w:rFonts w:ascii="Barlow" w:hAnsi="Barlow"/>
        </w:rPr>
        <w:t>IFRS</w:t>
      </w:r>
      <w:r w:rsidR="00E01155">
        <w:rPr>
          <w:rFonts w:ascii="Barlow" w:hAnsi="Barlow"/>
        </w:rPr>
        <w:t>)</w:t>
      </w:r>
      <w:r w:rsidR="004C0F42">
        <w:rPr>
          <w:rFonts w:ascii="Barlow" w:hAnsi="Barlow"/>
        </w:rPr>
        <w:t xml:space="preserve">, Administatratorul Unic </w:t>
      </w:r>
      <w:r w:rsidR="00FF2C89">
        <w:rPr>
          <w:rFonts w:ascii="Barlow" w:hAnsi="Barlow"/>
        </w:rPr>
        <w:t>REIT Cap</w:t>
      </w:r>
      <w:r w:rsidR="008C0FF4">
        <w:rPr>
          <w:rFonts w:ascii="Barlow" w:hAnsi="Barlow"/>
        </w:rPr>
        <w:t>i</w:t>
      </w:r>
      <w:r w:rsidR="00FF2C89">
        <w:rPr>
          <w:rFonts w:ascii="Barlow" w:hAnsi="Barlow"/>
        </w:rPr>
        <w:t xml:space="preserve">tal S.A. va propune actionarilor </w:t>
      </w:r>
      <w:r w:rsidR="00E01155">
        <w:rPr>
          <w:rFonts w:ascii="Barlow" w:hAnsi="Barlow"/>
        </w:rPr>
        <w:t xml:space="preserve">schimbarea Actului Constitutiv astfel incat </w:t>
      </w:r>
      <w:r w:rsidR="00FF2C89">
        <w:rPr>
          <w:rFonts w:ascii="Barlow" w:hAnsi="Barlow"/>
        </w:rPr>
        <w:t>baza de distributie a dividedelor sa devina castigurile conform standardelor EPRA</w:t>
      </w:r>
      <w:r w:rsidR="00716E78">
        <w:rPr>
          <w:rStyle w:val="FootnoteReference"/>
          <w:rFonts w:ascii="Barlow" w:hAnsi="Barlow"/>
        </w:rPr>
        <w:footnoteReference w:id="1"/>
      </w:r>
      <w:r w:rsidR="00FF2C89">
        <w:rPr>
          <w:rFonts w:ascii="Barlow" w:hAnsi="Barlow"/>
        </w:rPr>
        <w:t xml:space="preserve"> (</w:t>
      </w:r>
      <w:r w:rsidR="007A2F72">
        <w:rPr>
          <w:rFonts w:ascii="Barlow" w:hAnsi="Barlow"/>
        </w:rPr>
        <w:t>„EPRA earnings”)</w:t>
      </w:r>
      <w:r w:rsidR="00E91577">
        <w:rPr>
          <w:rFonts w:ascii="Barlow" w:hAnsi="Barlow"/>
        </w:rPr>
        <w:t>.</w:t>
      </w:r>
    </w:p>
    <w:p w14:paraId="34D71749" w14:textId="77777777" w:rsidR="00C80103" w:rsidRPr="00910CAF" w:rsidRDefault="00C80103" w:rsidP="00430704">
      <w:pPr>
        <w:spacing w:after="120" w:line="240" w:lineRule="auto"/>
        <w:jc w:val="both"/>
        <w:rPr>
          <w:rFonts w:ascii="Barlow" w:hAnsi="Barlow"/>
        </w:rPr>
      </w:pPr>
    </w:p>
    <w:p w14:paraId="4BCE5971" w14:textId="50DEA61A" w:rsidR="00292316" w:rsidRPr="00DC7182" w:rsidRDefault="00292316" w:rsidP="00292316">
      <w:pPr>
        <w:spacing w:after="120" w:line="240" w:lineRule="auto"/>
        <w:jc w:val="center"/>
        <w:rPr>
          <w:rFonts w:ascii="Barlow" w:hAnsi="Barlow"/>
          <w:b/>
          <w:bCs/>
          <w:sz w:val="28"/>
          <w:szCs w:val="28"/>
        </w:rPr>
      </w:pPr>
    </w:p>
    <w:sectPr w:rsidR="00292316" w:rsidRPr="00DC7182" w:rsidSect="00683DE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B4E9" w14:textId="77777777" w:rsidR="00190144" w:rsidRPr="00DC7182" w:rsidRDefault="00190144" w:rsidP="00292316">
      <w:pPr>
        <w:spacing w:after="0" w:line="240" w:lineRule="auto"/>
      </w:pPr>
      <w:r w:rsidRPr="00DC7182">
        <w:separator/>
      </w:r>
    </w:p>
  </w:endnote>
  <w:endnote w:type="continuationSeparator" w:id="0">
    <w:p w14:paraId="2A69947C" w14:textId="77777777" w:rsidR="00190144" w:rsidRPr="00DC7182" w:rsidRDefault="00190144" w:rsidP="00292316">
      <w:pPr>
        <w:spacing w:after="0" w:line="240" w:lineRule="auto"/>
      </w:pPr>
      <w:r w:rsidRPr="00DC7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835A" w14:textId="77777777" w:rsidR="00B5221D" w:rsidRDefault="00B5221D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5FFB7C1B" w14:textId="77777777" w:rsidR="00EE0B97" w:rsidRDefault="00EE0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80E1" w14:textId="77777777" w:rsidR="00190144" w:rsidRPr="00DC7182" w:rsidRDefault="00190144" w:rsidP="00292316">
      <w:pPr>
        <w:spacing w:after="0" w:line="240" w:lineRule="auto"/>
      </w:pPr>
      <w:r w:rsidRPr="00DC7182">
        <w:separator/>
      </w:r>
    </w:p>
  </w:footnote>
  <w:footnote w:type="continuationSeparator" w:id="0">
    <w:p w14:paraId="700114A6" w14:textId="77777777" w:rsidR="00190144" w:rsidRPr="00DC7182" w:rsidRDefault="00190144" w:rsidP="00292316">
      <w:pPr>
        <w:spacing w:after="0" w:line="240" w:lineRule="auto"/>
      </w:pPr>
      <w:r w:rsidRPr="00DC7182">
        <w:continuationSeparator/>
      </w:r>
    </w:p>
  </w:footnote>
  <w:footnote w:id="1">
    <w:p w14:paraId="5F6D7186" w14:textId="040794BE" w:rsidR="00716E78" w:rsidRPr="0029350C" w:rsidRDefault="00716E7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EPRA - </w:t>
      </w:r>
      <w:r w:rsidRPr="00CE774E">
        <w:t>European Public Real Estate Association</w:t>
      </w:r>
      <w:r>
        <w:t xml:space="preserve"> - </w:t>
      </w:r>
      <w:r w:rsidRPr="004F2D6E">
        <w:rPr>
          <w:b/>
          <w:bCs/>
        </w:rPr>
        <w:t>asociație europeană</w:t>
      </w:r>
      <w:r w:rsidRPr="004F2D6E">
        <w:t xml:space="preserve"> care reprezintă </w:t>
      </w:r>
      <w:r w:rsidRPr="004F2D6E">
        <w:rPr>
          <w:b/>
          <w:bCs/>
        </w:rPr>
        <w:t>companiile imobiliare listate la bursă</w:t>
      </w:r>
      <w:r w:rsidRPr="004F2D6E">
        <w:t xml:space="preserve"> (real estate) și investitorii din acest sector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617F" w14:textId="52956276" w:rsidR="00292316" w:rsidRPr="00DC7182" w:rsidRDefault="00292316">
    <w:pPr>
      <w:pStyle w:val="Header"/>
    </w:pPr>
    <w:r w:rsidRPr="00DC7182">
      <w:rPr>
        <w:noProof/>
      </w:rPr>
      <w:drawing>
        <wp:anchor distT="0" distB="0" distL="114300" distR="114300" simplePos="0" relativeHeight="251658240" behindDoc="0" locked="0" layoutInCell="1" allowOverlap="1" wp14:anchorId="27761D31" wp14:editId="38A49115">
          <wp:simplePos x="0" y="0"/>
          <wp:positionH relativeFrom="column">
            <wp:posOffset>-311150</wp:posOffset>
          </wp:positionH>
          <wp:positionV relativeFrom="paragraph">
            <wp:posOffset>-260350</wp:posOffset>
          </wp:positionV>
          <wp:extent cx="876300" cy="604665"/>
          <wp:effectExtent l="0" t="0" r="0" b="0"/>
          <wp:wrapSquare wrapText="bothSides"/>
          <wp:docPr id="18915051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5EE1DB" w14:textId="2E02F82B" w:rsidR="00292316" w:rsidRPr="00DC7182" w:rsidRDefault="00292316" w:rsidP="00292316">
    <w:pPr>
      <w:pStyle w:val="Header"/>
      <w:tabs>
        <w:tab w:val="clear" w:pos="4680"/>
        <w:tab w:val="clear" w:pos="9360"/>
        <w:tab w:val="left" w:pos="2590"/>
      </w:tabs>
    </w:pPr>
    <w:r w:rsidRPr="00DC718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CF7"/>
    <w:multiLevelType w:val="multilevel"/>
    <w:tmpl w:val="1D5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4153"/>
    <w:multiLevelType w:val="multilevel"/>
    <w:tmpl w:val="C2F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C0F93"/>
    <w:multiLevelType w:val="multilevel"/>
    <w:tmpl w:val="61D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C6E07"/>
    <w:multiLevelType w:val="multilevel"/>
    <w:tmpl w:val="BC98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90A6D"/>
    <w:multiLevelType w:val="multilevel"/>
    <w:tmpl w:val="58C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623F0"/>
    <w:multiLevelType w:val="multilevel"/>
    <w:tmpl w:val="AC9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66F3F"/>
    <w:multiLevelType w:val="multilevel"/>
    <w:tmpl w:val="2A0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072DF"/>
    <w:multiLevelType w:val="multilevel"/>
    <w:tmpl w:val="5C7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F2E92"/>
    <w:multiLevelType w:val="multilevel"/>
    <w:tmpl w:val="A2DC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B3D31"/>
    <w:multiLevelType w:val="multilevel"/>
    <w:tmpl w:val="798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B46F0"/>
    <w:multiLevelType w:val="multilevel"/>
    <w:tmpl w:val="71F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662A0"/>
    <w:multiLevelType w:val="multilevel"/>
    <w:tmpl w:val="D6F0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3268A3"/>
    <w:multiLevelType w:val="hybridMultilevel"/>
    <w:tmpl w:val="F4BA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66329"/>
    <w:multiLevelType w:val="multilevel"/>
    <w:tmpl w:val="D28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494249">
    <w:abstractNumId w:val="13"/>
  </w:num>
  <w:num w:numId="2" w16cid:durableId="1715041886">
    <w:abstractNumId w:val="2"/>
  </w:num>
  <w:num w:numId="3" w16cid:durableId="183634584">
    <w:abstractNumId w:val="4"/>
  </w:num>
  <w:num w:numId="4" w16cid:durableId="1964727739">
    <w:abstractNumId w:val="0"/>
  </w:num>
  <w:num w:numId="5" w16cid:durableId="1176962947">
    <w:abstractNumId w:val="1"/>
  </w:num>
  <w:num w:numId="6" w16cid:durableId="171838452">
    <w:abstractNumId w:val="10"/>
  </w:num>
  <w:num w:numId="7" w16cid:durableId="667515637">
    <w:abstractNumId w:val="6"/>
  </w:num>
  <w:num w:numId="8" w16cid:durableId="960960034">
    <w:abstractNumId w:val="9"/>
  </w:num>
  <w:num w:numId="9" w16cid:durableId="1405832808">
    <w:abstractNumId w:val="3"/>
  </w:num>
  <w:num w:numId="10" w16cid:durableId="1937397581">
    <w:abstractNumId w:val="12"/>
  </w:num>
  <w:num w:numId="11" w16cid:durableId="1626472675">
    <w:abstractNumId w:val="7"/>
  </w:num>
  <w:num w:numId="12" w16cid:durableId="1055663979">
    <w:abstractNumId w:val="5"/>
  </w:num>
  <w:num w:numId="13" w16cid:durableId="2079013409">
    <w:abstractNumId w:val="11"/>
  </w:num>
  <w:num w:numId="14" w16cid:durableId="220408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16"/>
    <w:rsid w:val="000046B8"/>
    <w:rsid w:val="00086891"/>
    <w:rsid w:val="000A5304"/>
    <w:rsid w:val="000B1BB6"/>
    <w:rsid w:val="000D35BA"/>
    <w:rsid w:val="001627A2"/>
    <w:rsid w:val="00166486"/>
    <w:rsid w:val="00174259"/>
    <w:rsid w:val="00190144"/>
    <w:rsid w:val="001F48B2"/>
    <w:rsid w:val="00244524"/>
    <w:rsid w:val="00292316"/>
    <w:rsid w:val="0029350C"/>
    <w:rsid w:val="002936C5"/>
    <w:rsid w:val="002B37D1"/>
    <w:rsid w:val="002D4197"/>
    <w:rsid w:val="00383E09"/>
    <w:rsid w:val="003A5270"/>
    <w:rsid w:val="003E785B"/>
    <w:rsid w:val="00421AA1"/>
    <w:rsid w:val="00430704"/>
    <w:rsid w:val="00495D50"/>
    <w:rsid w:val="004A7E6D"/>
    <w:rsid w:val="004C0F42"/>
    <w:rsid w:val="0051585D"/>
    <w:rsid w:val="00520638"/>
    <w:rsid w:val="00540847"/>
    <w:rsid w:val="0058274E"/>
    <w:rsid w:val="005C5E0A"/>
    <w:rsid w:val="00602469"/>
    <w:rsid w:val="00606AEF"/>
    <w:rsid w:val="006559C0"/>
    <w:rsid w:val="00682D3B"/>
    <w:rsid w:val="00683DE7"/>
    <w:rsid w:val="006B30CF"/>
    <w:rsid w:val="006B71E8"/>
    <w:rsid w:val="00716E78"/>
    <w:rsid w:val="0072571E"/>
    <w:rsid w:val="007A2F72"/>
    <w:rsid w:val="007D5D64"/>
    <w:rsid w:val="00806B96"/>
    <w:rsid w:val="008B034D"/>
    <w:rsid w:val="008C0FF4"/>
    <w:rsid w:val="008F3872"/>
    <w:rsid w:val="00910CAF"/>
    <w:rsid w:val="00911D9C"/>
    <w:rsid w:val="00933EA5"/>
    <w:rsid w:val="00976BFE"/>
    <w:rsid w:val="00A22F9F"/>
    <w:rsid w:val="00A710BF"/>
    <w:rsid w:val="00AC0DBE"/>
    <w:rsid w:val="00AC1777"/>
    <w:rsid w:val="00B217C7"/>
    <w:rsid w:val="00B51B71"/>
    <w:rsid w:val="00B5221D"/>
    <w:rsid w:val="00C2150D"/>
    <w:rsid w:val="00C73692"/>
    <w:rsid w:val="00C756B6"/>
    <w:rsid w:val="00C80103"/>
    <w:rsid w:val="00D16437"/>
    <w:rsid w:val="00DC7182"/>
    <w:rsid w:val="00DD0FCC"/>
    <w:rsid w:val="00DE112F"/>
    <w:rsid w:val="00DE4197"/>
    <w:rsid w:val="00E01155"/>
    <w:rsid w:val="00E10668"/>
    <w:rsid w:val="00E91577"/>
    <w:rsid w:val="00EA73F6"/>
    <w:rsid w:val="00ED0793"/>
    <w:rsid w:val="00ED1B45"/>
    <w:rsid w:val="00EE0B97"/>
    <w:rsid w:val="00F050E5"/>
    <w:rsid w:val="00F22E30"/>
    <w:rsid w:val="00F243FA"/>
    <w:rsid w:val="00F56558"/>
    <w:rsid w:val="00F85F3C"/>
    <w:rsid w:val="00F95FD7"/>
    <w:rsid w:val="00FB3E39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6DF6"/>
  <w15:chartTrackingRefBased/>
  <w15:docId w15:val="{92408B34-1D87-47D6-ADD7-073E090A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3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3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31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31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31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31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31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31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31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9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31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31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9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31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92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31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923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1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9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16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10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6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668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0B1BB6"/>
    <w:pPr>
      <w:spacing w:after="0" w:line="240" w:lineRule="auto"/>
    </w:pPr>
    <w:rPr>
      <w:lang w:val="ro-RO"/>
    </w:rPr>
  </w:style>
  <w:style w:type="paragraph" w:styleId="FootnoteText">
    <w:name w:val="footnote text"/>
    <w:aliases w:val="S_footer"/>
    <w:basedOn w:val="Normal"/>
    <w:link w:val="FootnoteTextChar"/>
    <w:unhideWhenUsed/>
    <w:qFormat/>
    <w:rsid w:val="008C0F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_footer Char"/>
    <w:basedOn w:val="DefaultParagraphFont"/>
    <w:link w:val="FootnoteText"/>
    <w:qFormat/>
    <w:rsid w:val="008C0FF4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C0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be6064-e263-4069-873e-5ab8f0dbfe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2CA1CB6E56145BA9FF8E2B7ED108D" ma:contentTypeVersion="14" ma:contentTypeDescription="Creați un document nou." ma:contentTypeScope="" ma:versionID="74b42cd8246b20948eb5e8d0f0351d3c">
  <xsd:schema xmlns:xsd="http://www.w3.org/2001/XMLSchema" xmlns:xs="http://www.w3.org/2001/XMLSchema" xmlns:p="http://schemas.microsoft.com/office/2006/metadata/properties" xmlns:ns3="edbe6064-e263-4069-873e-5ab8f0dbfe6f" xmlns:ns4="0bb5d3e8-dbb8-4d7d-8260-fa4fb6b83e02" targetNamespace="http://schemas.microsoft.com/office/2006/metadata/properties" ma:root="true" ma:fieldsID="f92bd7c3f71792e176497a00f9b99a3e" ns3:_="" ns4:_="">
    <xsd:import namespace="edbe6064-e263-4069-873e-5ab8f0dbfe6f"/>
    <xsd:import namespace="0bb5d3e8-dbb8-4d7d-8260-fa4fb6b83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6064-e263-4069-873e-5ab8f0dbf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d3e8-dbb8-4d7d-8260-fa4fb6b83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690D5-637E-4FF2-B51D-04550FF9DB6D}">
  <ds:schemaRefs>
    <ds:schemaRef ds:uri="http://schemas.microsoft.com/office/2006/metadata/properties"/>
    <ds:schemaRef ds:uri="http://schemas.microsoft.com/office/infopath/2007/PartnerControls"/>
    <ds:schemaRef ds:uri="edbe6064-e263-4069-873e-5ab8f0dbfe6f"/>
  </ds:schemaRefs>
</ds:datastoreItem>
</file>

<file path=customXml/itemProps2.xml><?xml version="1.0" encoding="utf-8"?>
<ds:datastoreItem xmlns:ds="http://schemas.openxmlformats.org/officeDocument/2006/customXml" ds:itemID="{36B61FBC-ED56-49DF-ABB4-4D179F558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13148-B843-449C-A7C3-44A8F52A90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3AF69-BE83-4603-BBDB-C1E1008B8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e6064-e263-4069-873e-5ab8f0dbfe6f"/>
    <ds:schemaRef ds:uri="0bb5d3e8-dbb8-4d7d-8260-fa4fb6b8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Toaipa (VERTIK)</dc:creator>
  <cp:keywords/>
  <dc:description/>
  <cp:lastModifiedBy>Adrian Tanase</cp:lastModifiedBy>
  <cp:revision>4</cp:revision>
  <dcterms:created xsi:type="dcterms:W3CDTF">2026-02-02T07:26:00Z</dcterms:created>
  <dcterms:modified xsi:type="dcterms:W3CDTF">2026-02-03T16:24:00Z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0x010100D942CA1CB6E56145BA9FF8E2B7ED108D</vt:lpwstr>
  </property>
</Properties>
</file>